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Bell MT" w:hAnsi="Bell MT" w:cs="Bell MT"/>
          <w:b/>
        </w:rPr>
      </w:pPr>
      <w:r>
        <w:rPr>
          <w:rFonts w:ascii="Bell MT" w:eastAsia="Bell MT" w:hAnsi="Bell MT" w:cs="Bell MT"/>
          <w:b/>
        </w:rPr>
        <w:t>ANE</w:t>
      </w:r>
      <w:r w:rsidR="00410EFF">
        <w:rPr>
          <w:rFonts w:ascii="Bell MT" w:eastAsia="Bell MT" w:hAnsi="Bell MT" w:cs="Bell MT"/>
          <w:b/>
        </w:rPr>
        <w:t>XO 09 - EDITAL MACROPROJETO 2024 - 2025</w:t>
      </w: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Conselho Municipal de Defesa dos Direitos da Criança e do Adolescente - CMDDCA</w:t>
      </w: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Fundo Municipal de Defesa dos Direitos da Criança e do Adolescente – FUMDECA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:rsidR="00A00EF7" w:rsidRPr="00410EFF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  <w:r w:rsidRPr="00410EFF">
        <w:rPr>
          <w:rFonts w:ascii="Bell MT" w:eastAsia="Bell MT" w:hAnsi="Bell MT" w:cs="Bell MT"/>
          <w:b/>
        </w:rPr>
        <w:t xml:space="preserve">RESOLUÇÃO DA COMISSÃO DELIBERATIVA DO CMDDCA Nº </w:t>
      </w:r>
      <w:r w:rsidR="00410EFF" w:rsidRPr="00410EFF">
        <w:rPr>
          <w:rFonts w:ascii="Bell MT" w:eastAsia="Bell MT" w:hAnsi="Bell MT" w:cs="Bell MT"/>
          <w:b/>
        </w:rPr>
        <w:t>001/2024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  <w:bookmarkStart w:id="0" w:name="_GoBack"/>
      <w:bookmarkEnd w:id="0"/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 </w:t>
      </w:r>
      <w:r>
        <w:rPr>
          <w:rFonts w:ascii="Bell MT" w:eastAsia="Bell MT" w:hAnsi="Bell MT" w:cs="Bell MT"/>
          <w:b/>
        </w:rPr>
        <w:t>COMISSÃO DELIBERATIVA DO CMDDCA</w:t>
      </w:r>
      <w:r>
        <w:rPr>
          <w:rFonts w:ascii="Bell MT" w:eastAsia="Bell MT" w:hAnsi="Bell MT" w:cs="Bell MT"/>
        </w:rPr>
        <w:t>, no uso das suas atribuições legais, considerando o disposto na Lei nº 887/2023.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  <w:b/>
        </w:rPr>
      </w:pP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</w:rPr>
        <w:t>RESOLVE</w:t>
      </w:r>
      <w:r>
        <w:rPr>
          <w:rFonts w:ascii="Bell MT" w:eastAsia="Bell MT" w:hAnsi="Bell MT" w:cs="Bell MT"/>
        </w:rPr>
        <w:t>: fixar critérios para pontuação dos projetos submetidos ao Edital de Macrop</w:t>
      </w:r>
      <w:r>
        <w:rPr>
          <w:rFonts w:ascii="Bell MT" w:eastAsia="Bell MT" w:hAnsi="Bell MT" w:cs="Bell MT"/>
        </w:rPr>
        <w:t xml:space="preserve">rojeto 2023-2024, que serão submetidos à </w:t>
      </w:r>
      <w:r>
        <w:rPr>
          <w:rFonts w:ascii="Bell MT" w:eastAsia="Bell MT" w:hAnsi="Bell MT" w:cs="Bell MT"/>
          <w:b/>
        </w:rPr>
        <w:t xml:space="preserve">análise e julgamento pela Empresa contratada e pela Comissão Deliberativa do CMDDCA, </w:t>
      </w:r>
      <w:r>
        <w:rPr>
          <w:rFonts w:ascii="Bell MT" w:eastAsia="Bell MT" w:hAnsi="Bell MT" w:cs="Bell MT"/>
        </w:rPr>
        <w:t xml:space="preserve">e estabelecer disposições adicionais. 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</w:rPr>
        <w:t xml:space="preserve">A) DA PONTUAÇÃO DE PROJETOS </w:t>
      </w: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A.1 Os projetos serão avaliados por 5 (cinco) critérios de pontuação: </w:t>
      </w: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I- Valor Social do projeto; </w:t>
      </w: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II- Local de realização; </w:t>
      </w: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III- Aspectos Sociais; </w:t>
      </w: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IV- Criatividade, clareza e coerência; e </w:t>
      </w: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V- Adequação orçamentária. 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A.2 A pontuação para cada critério </w:t>
      </w:r>
      <w:r>
        <w:rPr>
          <w:rFonts w:ascii="Bell MT" w:eastAsia="Bell MT" w:hAnsi="Bell MT" w:cs="Bell MT"/>
        </w:rPr>
        <w:t xml:space="preserve">poderá variar entre 0 (zero) e 10 (dez) pontos, considerando o atendimento aos aspectos norteadores. 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A.3 A nota final do projeto será a média ponderada das notas dos critérios de pontuação, atribuindo- se peso 4 (quatro) para o critério I; peso 2 (dois) </w:t>
      </w:r>
      <w:r>
        <w:rPr>
          <w:rFonts w:ascii="Bell MT" w:eastAsia="Bell MT" w:hAnsi="Bell MT" w:cs="Bell MT"/>
        </w:rPr>
        <w:t xml:space="preserve">para o critério II; peso 2 (dois) para o critério III; peso 1 (um) para o critério IV e peso 1 (um) para o critério V. 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tbl>
      <w:tblPr>
        <w:tblStyle w:val="a1"/>
        <w:tblW w:w="850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309"/>
      </w:tblGrid>
      <w:tr w:rsidR="00A00EF7">
        <w:trPr>
          <w:trHeight w:val="110"/>
        </w:trPr>
        <w:tc>
          <w:tcPr>
            <w:tcW w:w="7196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 </w:t>
            </w:r>
            <w:r>
              <w:rPr>
                <w:rFonts w:ascii="Bell MT" w:eastAsia="Bell MT" w:hAnsi="Bell MT" w:cs="Bell MT"/>
                <w:b/>
              </w:rPr>
              <w:t xml:space="preserve">Critério I – Valor Social do projeto (Peso 4) </w:t>
            </w:r>
          </w:p>
        </w:tc>
        <w:tc>
          <w:tcPr>
            <w:tcW w:w="1309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0 a 10 </w:t>
            </w:r>
          </w:p>
        </w:tc>
      </w:tr>
      <w:tr w:rsidR="00A00EF7">
        <w:trPr>
          <w:trHeight w:val="1406"/>
        </w:trPr>
        <w:tc>
          <w:tcPr>
            <w:tcW w:w="8505" w:type="dxa"/>
            <w:gridSpan w:val="2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4" w:firstLine="0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Contribuição para o assistencialismo de crianças e adolescentes de Ibimirim, em conformidade os objetivos do ECA (Lei nº 8.069, de 13 de julho de 1990) e CONANDA (Lei nº 8.242, de 12 de outubro de 1991);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76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Valorização, criação, manutenção ou desenvolvimento das ideias, práticas e bens materiais e imateriais inerentes ao assistencialismo da Criança e ao Adolescente;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Originalidade/Singularidade/Autenticidade/Inovação;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>* Relevância para a rede de assisten</w:t>
            </w:r>
            <w:r>
              <w:rPr>
                <w:rFonts w:ascii="Bell MT" w:eastAsia="Bell MT" w:hAnsi="Bell MT" w:cs="Bell MT"/>
              </w:rPr>
              <w:t xml:space="preserve">cialismo juvenil;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Estímulo à diversidade e a temas relevantes para o desenvolvimento da cidadania juvenil. </w:t>
            </w:r>
          </w:p>
        </w:tc>
      </w:tr>
      <w:tr w:rsidR="00A00EF7">
        <w:trPr>
          <w:trHeight w:val="21"/>
        </w:trPr>
        <w:tc>
          <w:tcPr>
            <w:tcW w:w="7196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09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10 </w:t>
            </w:r>
          </w:p>
        </w:tc>
      </w:tr>
    </w:tbl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tbl>
      <w:tblPr>
        <w:tblStyle w:val="a2"/>
        <w:tblW w:w="850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75"/>
      </w:tblGrid>
      <w:tr w:rsidR="00A00EF7">
        <w:trPr>
          <w:trHeight w:val="110"/>
        </w:trPr>
        <w:tc>
          <w:tcPr>
            <w:tcW w:w="7230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II – Local de realização (Peso 2) </w:t>
            </w:r>
          </w:p>
        </w:tc>
        <w:tc>
          <w:tcPr>
            <w:tcW w:w="1275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0 a 10 </w:t>
            </w:r>
          </w:p>
        </w:tc>
      </w:tr>
      <w:tr w:rsidR="00A00EF7">
        <w:trPr>
          <w:trHeight w:val="561"/>
        </w:trPr>
        <w:tc>
          <w:tcPr>
            <w:tcW w:w="8505" w:type="dxa"/>
            <w:gridSpan w:val="2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Comunidades com baixo IDH-M ou povos tradicionais (comunidades originárias e ciganos);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Compatibilidade entre local de proposição do projeto e área de atuação da Associação/MEI;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Priorização para contratação de mão de obra do local da execução do projeto;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>* Promoção da integração do produto assistencialista em locais onde se promova a inclusão sociocultural e o combate a mazelas sociais. Quando possível, em escolas públicas, pon</w:t>
            </w:r>
            <w:r>
              <w:rPr>
                <w:rFonts w:ascii="Bell MT" w:eastAsia="Bell MT" w:hAnsi="Bell MT" w:cs="Bell MT"/>
              </w:rPr>
              <w:t xml:space="preserve">tos de cultura, bibliotecas comunitárias, entre outros. </w:t>
            </w:r>
          </w:p>
        </w:tc>
      </w:tr>
      <w:tr w:rsidR="00A00EF7">
        <w:trPr>
          <w:trHeight w:val="110"/>
        </w:trPr>
        <w:tc>
          <w:tcPr>
            <w:tcW w:w="7230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lastRenderedPageBreak/>
              <w:t xml:space="preserve">TOTAL (pontuação máxima) </w:t>
            </w:r>
          </w:p>
        </w:tc>
        <w:tc>
          <w:tcPr>
            <w:tcW w:w="1275" w:type="dxa"/>
            <w:vAlign w:val="center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:rsidR="00A00EF7" w:rsidRDefault="00A00EF7">
      <w:pPr>
        <w:rPr>
          <w:rFonts w:ascii="Bell MT" w:eastAsia="Bell MT" w:hAnsi="Bell MT" w:cs="Bell MT"/>
        </w:rPr>
      </w:pPr>
    </w:p>
    <w:tbl>
      <w:tblPr>
        <w:tblStyle w:val="a3"/>
        <w:tblW w:w="85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A00EF7">
        <w:trPr>
          <w:trHeight w:val="110"/>
        </w:trPr>
        <w:tc>
          <w:tcPr>
            <w:tcW w:w="7230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III – Aspectos sociais do projeto (Peso 2) </w:t>
            </w:r>
          </w:p>
        </w:tc>
        <w:tc>
          <w:tcPr>
            <w:tcW w:w="1330" w:type="dxa"/>
            <w:vAlign w:val="center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0 a 10</w:t>
            </w:r>
          </w:p>
        </w:tc>
      </w:tr>
      <w:tr w:rsidR="00A00EF7">
        <w:trPr>
          <w:trHeight w:val="1340"/>
        </w:trPr>
        <w:tc>
          <w:tcPr>
            <w:tcW w:w="8560" w:type="dxa"/>
            <w:gridSpan w:val="2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Propostas de ações para promover e facilitar o acesso ou a fruição dos cidadãos ao produto cultural proposto;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Previsão de ações de acessibilidade e inclusão da pessoa com deficiência;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O proponente do projeto que nunca acessou recursos provenientes do CMDDCA.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Proponente voltado ao atendimento prioritário de do gênero feminino; indígena; negro(a); pessoa com deficiência. </w:t>
            </w:r>
          </w:p>
        </w:tc>
      </w:tr>
      <w:tr w:rsidR="00A00EF7">
        <w:trPr>
          <w:trHeight w:val="110"/>
        </w:trPr>
        <w:tc>
          <w:tcPr>
            <w:tcW w:w="7230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:rsidR="00A00EF7" w:rsidRDefault="00A00EF7">
      <w:pPr>
        <w:rPr>
          <w:rFonts w:ascii="Bell MT" w:eastAsia="Bell MT" w:hAnsi="Bell MT" w:cs="Bell MT"/>
        </w:rPr>
      </w:pPr>
    </w:p>
    <w:tbl>
      <w:tblPr>
        <w:tblStyle w:val="a4"/>
        <w:tblW w:w="85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A00EF7">
        <w:trPr>
          <w:trHeight w:val="110"/>
        </w:trPr>
        <w:tc>
          <w:tcPr>
            <w:tcW w:w="7230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IV – Criatividade, clareza e coerência (Peso 1) </w:t>
            </w:r>
          </w:p>
        </w:tc>
        <w:tc>
          <w:tcPr>
            <w:tcW w:w="1330" w:type="dxa"/>
            <w:vAlign w:val="center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0 a 10</w:t>
            </w:r>
          </w:p>
        </w:tc>
      </w:tr>
      <w:tr w:rsidR="00A00EF7">
        <w:trPr>
          <w:trHeight w:val="898"/>
        </w:trPr>
        <w:tc>
          <w:tcPr>
            <w:tcW w:w="8560" w:type="dxa"/>
            <w:gridSpan w:val="2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Consistência (clareza e coerência) das ideias e informações expostas no objeto, nos objetivos gerais, específicos e na justificativa;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Compatibilidade entre a Organização proponente e a metodologia apresentada para a sua execução;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Adequação dos profissionais à execução dos serviços propostos. </w:t>
            </w:r>
          </w:p>
        </w:tc>
      </w:tr>
      <w:tr w:rsidR="00A00EF7">
        <w:trPr>
          <w:trHeight w:val="110"/>
        </w:trPr>
        <w:tc>
          <w:tcPr>
            <w:tcW w:w="7230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:rsidR="00A00EF7" w:rsidRDefault="00A00EF7">
      <w:pPr>
        <w:rPr>
          <w:rFonts w:ascii="Bell MT" w:eastAsia="Bell MT" w:hAnsi="Bell MT" w:cs="Bell MT"/>
        </w:rPr>
      </w:pPr>
    </w:p>
    <w:tbl>
      <w:tblPr>
        <w:tblStyle w:val="a5"/>
        <w:tblW w:w="85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A00EF7">
        <w:trPr>
          <w:trHeight w:val="110"/>
        </w:trPr>
        <w:tc>
          <w:tcPr>
            <w:tcW w:w="7230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V – Adequação orçamentária (Peso 1) </w:t>
            </w:r>
          </w:p>
        </w:tc>
        <w:tc>
          <w:tcPr>
            <w:tcW w:w="1330" w:type="dxa"/>
            <w:vAlign w:val="center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0 a 10</w:t>
            </w:r>
          </w:p>
        </w:tc>
      </w:tr>
      <w:tr w:rsidR="00A00EF7">
        <w:trPr>
          <w:trHeight w:val="742"/>
        </w:trPr>
        <w:tc>
          <w:tcPr>
            <w:tcW w:w="8560" w:type="dxa"/>
            <w:gridSpan w:val="2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Compatibilidade dos custos (adequação das rubricas propostas às despesas apresentadas e aos preços de mercado). </w:t>
            </w:r>
          </w:p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Viabilidade de realização (compatibilidade entre objeto, estratégia de ação, cronograma e orçamento). </w:t>
            </w:r>
          </w:p>
        </w:tc>
      </w:tr>
      <w:tr w:rsidR="00A00EF7">
        <w:trPr>
          <w:trHeight w:val="111"/>
        </w:trPr>
        <w:tc>
          <w:tcPr>
            <w:tcW w:w="7230" w:type="dxa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:rsidR="00A00EF7" w:rsidRDefault="00A00EF7">
      <w:pPr>
        <w:rPr>
          <w:rFonts w:ascii="Bell MT" w:eastAsia="Bell MT" w:hAnsi="Bell MT" w:cs="Bell MT"/>
        </w:rPr>
      </w:pP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A.4. O ponto de corte para os Microprojetos submetidos à análise e julgamento pela Empresa contratada e Comissão Deliberativa do CMDDCA será de 06 (seis pontos). 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A.5. Fica estabelecido como critério de desempate de Microprojetos que tenham obtido a mesma pontuação final: 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jc w:val="left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Para efeito de aprovação, será priorizado o projeto que tenha obtido a maior nota no critério de </w:t>
      </w:r>
      <w:proofErr w:type="gramStart"/>
      <w:r>
        <w:rPr>
          <w:rFonts w:ascii="Bell MT" w:eastAsia="Bell MT" w:hAnsi="Bell MT" w:cs="Bell MT"/>
        </w:rPr>
        <w:t>julgamento</w:t>
      </w:r>
      <w:proofErr w:type="gramEnd"/>
      <w:r>
        <w:rPr>
          <w:rFonts w:ascii="Bell MT" w:eastAsia="Bell MT" w:hAnsi="Bell MT" w:cs="Bell MT"/>
        </w:rPr>
        <w:t xml:space="preserve"> “I- Valor Social do projeto”. 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:rsidR="00A00EF7" w:rsidRDefault="006C6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right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Persistindo o empate, o desempate dar-se-á por meio da maior nota por critério de julgamento, na sequência a seguir detalhada: II- Local de realização; III- Aspectos Sociais do Projeto; IV- Criatividade, clareza e coerência; e V- Adequação orçamentária; </w:t>
      </w:r>
    </w:p>
    <w:p w:rsidR="00A00EF7" w:rsidRDefault="006C6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right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C</w:t>
      </w:r>
      <w:r>
        <w:rPr>
          <w:rFonts w:ascii="Bell MT" w:eastAsia="Bell MT" w:hAnsi="Bell MT" w:cs="Bell MT"/>
        </w:rPr>
        <w:t xml:space="preserve">aso nenhum dos critérios acima elencados seja capaz de promover o desempate, caberá à Comissão Deliberativa definir e justificar quais os projetos serão premiados. 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rPr>
          <w:rFonts w:ascii="Bell MT" w:eastAsia="Bell MT" w:hAnsi="Bell MT" w:cs="Bell MT"/>
        </w:rPr>
      </w:pP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A.6. Caso um mesmo proponente aprove mais de um projeto neste edital, será desclassificado</w:t>
      </w:r>
      <w:r>
        <w:rPr>
          <w:rFonts w:ascii="Bell MT" w:eastAsia="Bell MT" w:hAnsi="Bell MT" w:cs="Bell MT"/>
        </w:rPr>
        <w:t xml:space="preserve"> aquele que obtiver a menor pontuação. 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720" w:right="0" w:firstLine="0"/>
        <w:rPr>
          <w:rFonts w:ascii="Bell MT" w:eastAsia="Bell MT" w:hAnsi="Bell MT" w:cs="Bell MT"/>
        </w:rPr>
      </w:pP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A.7. Para os casos de projetos duplicados ou idênticos, será considerado o último inscrito. 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368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A.8 Caberá à Comissão Deliberativa do CMDDCA a indicação da relação dos projetos selecionados e sua ordem de classificação, desde que estes tenham alcançado nota mínima. </w:t>
      </w: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Ibimirim, </w:t>
      </w:r>
      <w:r w:rsidR="00410EFF">
        <w:rPr>
          <w:rFonts w:ascii="Bell MT" w:eastAsia="Bell MT" w:hAnsi="Bell MT" w:cs="Bell MT"/>
        </w:rPr>
        <w:t>19</w:t>
      </w:r>
      <w:r>
        <w:rPr>
          <w:rFonts w:ascii="Bell MT" w:eastAsia="Bell MT" w:hAnsi="Bell MT" w:cs="Bell MT"/>
        </w:rPr>
        <w:t xml:space="preserve"> de </w:t>
      </w:r>
      <w:r w:rsidR="00410EFF">
        <w:rPr>
          <w:rFonts w:ascii="Bell MT" w:eastAsia="Bell MT" w:hAnsi="Bell MT" w:cs="Bell MT"/>
        </w:rPr>
        <w:t>março</w:t>
      </w:r>
      <w:r>
        <w:rPr>
          <w:rFonts w:ascii="Bell MT" w:eastAsia="Bell MT" w:hAnsi="Bell MT" w:cs="Bell MT"/>
        </w:rPr>
        <w:t xml:space="preserve"> de 202</w:t>
      </w:r>
      <w:r w:rsidR="00410EFF">
        <w:rPr>
          <w:rFonts w:ascii="Bell MT" w:eastAsia="Bell MT" w:hAnsi="Bell MT" w:cs="Bell MT"/>
        </w:rPr>
        <w:t>4</w:t>
      </w:r>
      <w:r>
        <w:rPr>
          <w:rFonts w:ascii="Bell MT" w:eastAsia="Bell MT" w:hAnsi="Bell MT" w:cs="Bell MT"/>
        </w:rPr>
        <w:t>.</w:t>
      </w: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</w:p>
    <w:p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  <w:b/>
        </w:rPr>
      </w:pPr>
      <w:r>
        <w:rPr>
          <w:rFonts w:ascii="Bell MT" w:eastAsia="Bell MT" w:hAnsi="Bell MT" w:cs="Bell MT"/>
          <w:b/>
        </w:rPr>
        <w:t>MARCELO BRUNO DOS SANTOS MENDES</w:t>
      </w:r>
    </w:p>
    <w:p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Presidente do CMDDCA</w:t>
      </w:r>
    </w:p>
    <w:sectPr w:rsidR="00A00EF7">
      <w:headerReference w:type="default" r:id="rId8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E8" w:rsidRDefault="006C6EE8">
      <w:pPr>
        <w:spacing w:after="0" w:line="240" w:lineRule="auto"/>
      </w:pPr>
      <w:r>
        <w:separator/>
      </w:r>
    </w:p>
  </w:endnote>
  <w:endnote w:type="continuationSeparator" w:id="0">
    <w:p w:rsidR="006C6EE8" w:rsidRDefault="006C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E8" w:rsidRDefault="006C6EE8">
      <w:pPr>
        <w:spacing w:after="0" w:line="240" w:lineRule="auto"/>
      </w:pPr>
      <w:r>
        <w:separator/>
      </w:r>
    </w:p>
  </w:footnote>
  <w:footnote w:type="continuationSeparator" w:id="0">
    <w:p w:rsidR="006C6EE8" w:rsidRDefault="006C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EF7" w:rsidRDefault="006C6E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-400684</wp:posOffset>
          </wp:positionV>
          <wp:extent cx="7533005" cy="10625568"/>
          <wp:effectExtent l="0" t="0" r="0" b="0"/>
          <wp:wrapNone/>
          <wp:docPr id="199755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34E0B"/>
    <w:multiLevelType w:val="multilevel"/>
    <w:tmpl w:val="74742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F7"/>
    <w:rsid w:val="00410EFF"/>
    <w:rsid w:val="006C6EE8"/>
    <w:rsid w:val="00A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AE69D-8BD1-45A1-9112-064D883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 w:hanging="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A231D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iidjTiYrtWrpIdAz9bok0RJEg==">CgMxLjA4AHIhMW5MZGhaT1pJSXZieXNCNHdQa2Y1Ym9vM3JteGJhUXF2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Conta da Microsoft</cp:lastModifiedBy>
  <cp:revision>3</cp:revision>
  <dcterms:created xsi:type="dcterms:W3CDTF">2019-12-07T20:28:00Z</dcterms:created>
  <dcterms:modified xsi:type="dcterms:W3CDTF">2024-03-20T16:07:00Z</dcterms:modified>
</cp:coreProperties>
</file>